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02"/>
        <w:tblW w:w="9072" w:type="dxa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60"/>
        <w:gridCol w:w="3030"/>
        <w:gridCol w:w="88"/>
        <w:gridCol w:w="2126"/>
        <w:gridCol w:w="2268"/>
      </w:tblGrid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Helv" w:hAnsi="Helv" w:cs="Helv"/>
                <w:color w:val="000000"/>
                <w:sz w:val="20"/>
                <w:szCs w:val="20"/>
              </w:rPr>
              <w:t>Dept</w:t>
            </w:r>
            <w:proofErr w:type="spellEnd"/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 / Area Command: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People Services </w:t>
            </w:r>
          </w:p>
        </w:tc>
        <w:tc>
          <w:tcPr>
            <w:tcW w:w="88" w:type="dxa"/>
            <w:tcBorders>
              <w:left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8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Section: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People Development</w:t>
            </w:r>
          </w:p>
        </w:tc>
      </w:tr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 Title: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Citizens in Policing (Volunteering) Assistant</w:t>
            </w:r>
          </w:p>
        </w:tc>
        <w:tc>
          <w:tcPr>
            <w:tcW w:w="88" w:type="dxa"/>
            <w:tcBorders>
              <w:left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8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 Reference: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8032B9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WP149 / </w:t>
            </w:r>
            <w:r w:rsidR="00FD6359">
              <w:rPr>
                <w:rFonts w:ascii="Helv" w:hAnsi="Helv" w:cs="Helv"/>
                <w:color w:val="000000"/>
                <w:sz w:val="20"/>
                <w:szCs w:val="20"/>
              </w:rPr>
              <w:t>20755</w:t>
            </w:r>
          </w:p>
        </w:tc>
      </w:tr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Post Grade: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03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</w:t>
            </w:r>
          </w:p>
        </w:tc>
        <w:tc>
          <w:tcPr>
            <w:tcW w:w="88" w:type="dxa"/>
            <w:tcBorders>
              <w:left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8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Location: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Forth Banks</w:t>
            </w:r>
          </w:p>
        </w:tc>
      </w:tr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Car User Status: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left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8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Telephone Allowance: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 </w:t>
            </w:r>
          </w:p>
        </w:tc>
      </w:tr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Shift Allowance: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left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8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Standby Allowance: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 </w:t>
            </w:r>
          </w:p>
        </w:tc>
      </w:tr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Weekend Enhancement:</w:t>
            </w:r>
          </w:p>
        </w:tc>
        <w:tc>
          <w:tcPr>
            <w:tcW w:w="3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8"/>
              <w:rPr>
                <w:rFonts w:ascii="Helv" w:hAnsi="Helv" w:cs="Helv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Contractual Overtime: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 </w:t>
            </w:r>
          </w:p>
        </w:tc>
      </w:tr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Line Manager: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8032B9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71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20525 </w:t>
            </w:r>
            <w:r w:rsidR="004A2A50">
              <w:rPr>
                <w:rFonts w:ascii="Helv" w:hAnsi="Helv" w:cs="Helv"/>
                <w:color w:val="000000"/>
                <w:sz w:val="20"/>
                <w:szCs w:val="20"/>
              </w:rPr>
              <w:t>People Partner </w:t>
            </w:r>
          </w:p>
        </w:tc>
      </w:tr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>Staff Responsibilities: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71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Not Applicable </w:t>
            </w:r>
          </w:p>
        </w:tc>
      </w:tr>
      <w:tr w:rsidR="004A2A50" w:rsidTr="004A2A50"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FEFEF"/>
          </w:tcPr>
          <w:p w:rsidR="004A2A50" w:rsidRDefault="004A2A50" w:rsidP="004A2A5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7"/>
              <w:rPr>
                <w:rFonts w:ascii="Helv" w:hAnsi="Helv" w:cs="Helv"/>
                <w:color w:val="000000"/>
                <w:sz w:val="20"/>
                <w:szCs w:val="20"/>
              </w:rPr>
            </w:pPr>
            <w:r>
              <w:rPr>
                <w:rFonts w:ascii="Helv" w:hAnsi="Helv" w:cs="Helv"/>
                <w:color w:val="000000"/>
                <w:sz w:val="20"/>
                <w:szCs w:val="20"/>
              </w:rPr>
              <w:t xml:space="preserve">Purpose: </w:t>
            </w:r>
          </w:p>
        </w:tc>
        <w:tc>
          <w:tcPr>
            <w:tcW w:w="7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7A9" w:rsidRPr="008B07A9" w:rsidRDefault="008B07A9" w:rsidP="0058549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71"/>
              <w:rPr>
                <w:rFonts w:ascii="Helv" w:hAnsi="Helv"/>
                <w:bCs/>
                <w:color w:val="1F497D"/>
                <w:sz w:val="20"/>
                <w:szCs w:val="20"/>
              </w:rPr>
            </w:pPr>
            <w:r w:rsidRPr="008B07A9">
              <w:rPr>
                <w:rFonts w:ascii="Helv" w:hAnsi="Helv"/>
                <w:bCs/>
                <w:sz w:val="20"/>
                <w:szCs w:val="20"/>
              </w:rPr>
              <w:t>Support activities associated with delivery against the Citizens in Policing Strategy and associated delivery plans across the key volunteer streams of Youth Volunteers, Special Constables and Police Support Volunteers.</w:t>
            </w:r>
          </w:p>
        </w:tc>
      </w:tr>
    </w:tbl>
    <w:p w:rsidR="00A92414" w:rsidRDefault="009A0846">
      <w:pPr>
        <w:rPr>
          <w:rFonts w:ascii="Arial" w:hAnsi="Arial" w:cs="Arial"/>
          <w:b/>
          <w:u w:val="single"/>
        </w:rPr>
      </w:pPr>
      <w:r w:rsidRPr="00DA6349">
        <w:rPr>
          <w:rFonts w:ascii="Arial" w:hAnsi="Arial" w:cs="Arial"/>
          <w:b/>
          <w:u w:val="single"/>
        </w:rPr>
        <w:t xml:space="preserve">Citizens in Policing (Volunteering) </w:t>
      </w:r>
      <w:r w:rsidR="00DA6349" w:rsidRPr="00DA6349">
        <w:rPr>
          <w:rFonts w:ascii="Arial" w:hAnsi="Arial" w:cs="Arial"/>
          <w:b/>
          <w:u w:val="single"/>
        </w:rPr>
        <w:t>Assistant</w:t>
      </w:r>
      <w:r w:rsidR="009D3842" w:rsidRPr="00DA6349">
        <w:rPr>
          <w:rFonts w:ascii="Arial" w:hAnsi="Arial" w:cs="Arial"/>
          <w:b/>
          <w:u w:val="single"/>
        </w:rPr>
        <w:t xml:space="preserve"> </w:t>
      </w:r>
    </w:p>
    <w:p w:rsidR="001A1223" w:rsidRDefault="001A1223">
      <w:pPr>
        <w:rPr>
          <w:rFonts w:ascii="Arial" w:hAnsi="Arial" w:cs="Arial"/>
          <w:b/>
          <w:u w:val="single"/>
        </w:rPr>
      </w:pPr>
    </w:p>
    <w:p w:rsidR="006A3E01" w:rsidRDefault="006A3E0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Responsibilities:</w:t>
      </w:r>
    </w:p>
    <w:p w:rsidR="00053590" w:rsidRPr="001A1223" w:rsidRDefault="00AA0767" w:rsidP="001A1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1223">
        <w:rPr>
          <w:rFonts w:ascii="Arial" w:hAnsi="Arial" w:cs="Arial"/>
        </w:rPr>
        <w:t>Contribute to the development of new volunteer opport</w:t>
      </w:r>
      <w:r w:rsidR="00572AB1" w:rsidRPr="001A1223">
        <w:rPr>
          <w:rFonts w:ascii="Arial" w:hAnsi="Arial" w:cs="Arial"/>
        </w:rPr>
        <w:t xml:space="preserve">unities by undertaking research, </w:t>
      </w:r>
      <w:r w:rsidR="001F50A9" w:rsidRPr="001A1223">
        <w:rPr>
          <w:rFonts w:ascii="Arial" w:hAnsi="Arial" w:cs="Arial"/>
        </w:rPr>
        <w:t xml:space="preserve">supporting </w:t>
      </w:r>
      <w:r w:rsidRPr="001A1223">
        <w:rPr>
          <w:rFonts w:ascii="Arial" w:hAnsi="Arial" w:cs="Arial"/>
        </w:rPr>
        <w:t xml:space="preserve">business case </w:t>
      </w:r>
      <w:r w:rsidR="00572AB1" w:rsidRPr="001A1223">
        <w:rPr>
          <w:rFonts w:ascii="Arial" w:hAnsi="Arial" w:cs="Arial"/>
        </w:rPr>
        <w:t>compilation</w:t>
      </w:r>
      <w:r w:rsidR="001A1223">
        <w:rPr>
          <w:rFonts w:ascii="Arial" w:hAnsi="Arial" w:cs="Arial"/>
        </w:rPr>
        <w:t xml:space="preserve">, co-ordinating activities and </w:t>
      </w:r>
      <w:r w:rsidRPr="001A1223">
        <w:rPr>
          <w:rFonts w:ascii="Arial" w:hAnsi="Arial" w:cs="Arial"/>
        </w:rPr>
        <w:t>communication with relevant</w:t>
      </w:r>
      <w:r w:rsidR="001F50A9" w:rsidRPr="001A1223">
        <w:rPr>
          <w:rFonts w:ascii="Arial" w:hAnsi="Arial" w:cs="Arial"/>
        </w:rPr>
        <w:t xml:space="preserve"> internal and external</w:t>
      </w:r>
      <w:r w:rsidR="001A1223">
        <w:rPr>
          <w:rFonts w:ascii="Arial" w:hAnsi="Arial" w:cs="Arial"/>
        </w:rPr>
        <w:t xml:space="preserve"> stakeholders </w:t>
      </w:r>
      <w:r w:rsidRPr="001A1223">
        <w:rPr>
          <w:rFonts w:ascii="Arial" w:hAnsi="Arial" w:cs="Arial"/>
        </w:rPr>
        <w:t>and undertaking any other associated administrative duties.</w:t>
      </w:r>
    </w:p>
    <w:p w:rsidR="002E556A" w:rsidRDefault="00053590" w:rsidP="002E556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Plan, co-ordinate, implement and evaluate</w:t>
      </w:r>
      <w:r w:rsidR="005D11D7">
        <w:rPr>
          <w:rFonts w:ascii="Arial" w:hAnsi="Arial" w:cs="Arial"/>
        </w:rPr>
        <w:t xml:space="preserve"> the delivery of engagement and recruitment events </w:t>
      </w:r>
      <w:r w:rsidR="001F50A9">
        <w:rPr>
          <w:rFonts w:ascii="Arial" w:hAnsi="Arial" w:cs="Arial"/>
        </w:rPr>
        <w:t xml:space="preserve">to promote Northumbria Police’s volunteering </w:t>
      </w:r>
      <w:r w:rsidR="002E556A">
        <w:rPr>
          <w:rFonts w:ascii="Arial" w:hAnsi="Arial" w:cs="Arial"/>
        </w:rPr>
        <w:t>offering</w:t>
      </w:r>
      <w:r w:rsidR="001F50A9">
        <w:rPr>
          <w:rFonts w:ascii="Arial" w:hAnsi="Arial" w:cs="Arial"/>
        </w:rPr>
        <w:t>, both internally and externally</w:t>
      </w:r>
      <w:r w:rsidR="001A1223">
        <w:rPr>
          <w:rFonts w:ascii="Arial" w:hAnsi="Arial" w:cs="Arial"/>
        </w:rPr>
        <w:t>.</w:t>
      </w:r>
    </w:p>
    <w:p w:rsidR="00053590" w:rsidRPr="005D11D7" w:rsidRDefault="00053590" w:rsidP="002E556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Assist in the design, production and dissemination </w:t>
      </w:r>
      <w:r>
        <w:rPr>
          <w:rFonts w:ascii="Arial" w:hAnsi="Arial" w:cs="Arial"/>
        </w:rPr>
        <w:t>of internal and external communications</w:t>
      </w:r>
      <w:r w:rsidR="00156DE6">
        <w:rPr>
          <w:rFonts w:ascii="Arial" w:hAnsi="Arial" w:cs="Arial"/>
        </w:rPr>
        <w:t xml:space="preserve"> (including key messages, good news stories, promotional material and web information)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promote</w:t>
      </w:r>
      <w:r>
        <w:rPr>
          <w:rFonts w:ascii="Arial" w:hAnsi="Arial" w:cs="Arial"/>
        </w:rPr>
        <w:t xml:space="preserve"> volunteering opportunities</w:t>
      </w:r>
      <w:r w:rsidR="00F90B88">
        <w:rPr>
          <w:rFonts w:ascii="Arial" w:hAnsi="Arial" w:cs="Arial"/>
        </w:rPr>
        <w:t xml:space="preserve"> </w:t>
      </w:r>
      <w:r w:rsidR="00156DE6">
        <w:rPr>
          <w:rFonts w:ascii="Arial" w:hAnsi="Arial" w:cs="Arial"/>
        </w:rPr>
        <w:t>as well as</w:t>
      </w:r>
      <w:r w:rsidR="00F90B88">
        <w:rPr>
          <w:rFonts w:ascii="Arial" w:hAnsi="Arial" w:cs="Arial"/>
        </w:rPr>
        <w:t xml:space="preserve"> a p</w:t>
      </w:r>
      <w:r w:rsidR="00572AB1">
        <w:rPr>
          <w:rFonts w:ascii="Arial" w:hAnsi="Arial" w:cs="Arial"/>
        </w:rPr>
        <w:t>ositive culture of volu</w:t>
      </w:r>
      <w:r w:rsidR="001A1223">
        <w:rPr>
          <w:rFonts w:ascii="Arial" w:hAnsi="Arial" w:cs="Arial"/>
        </w:rPr>
        <w:t>nteering.</w:t>
      </w:r>
    </w:p>
    <w:p w:rsidR="001F50A9" w:rsidRDefault="00053590" w:rsidP="00AA076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Be the first point of contact and p</w:t>
      </w:r>
      <w:r w:rsidR="002E556A">
        <w:rPr>
          <w:rFonts w:ascii="Arial" w:hAnsi="Arial" w:cs="Arial"/>
        </w:rPr>
        <w:t>rovide an efficient a</w:t>
      </w:r>
      <w:r>
        <w:rPr>
          <w:rFonts w:ascii="Arial" w:hAnsi="Arial" w:cs="Arial"/>
        </w:rPr>
        <w:t>nd customer focused response to routine</w:t>
      </w:r>
      <w:r w:rsidR="002E556A">
        <w:rPr>
          <w:rFonts w:ascii="Arial" w:hAnsi="Arial" w:cs="Arial"/>
        </w:rPr>
        <w:t xml:space="preserve"> queries regarding Northumbria Police’s volunteering offering.</w:t>
      </w:r>
    </w:p>
    <w:p w:rsidR="001A1223" w:rsidRDefault="002E556A" w:rsidP="001A1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2E556A">
        <w:rPr>
          <w:rFonts w:ascii="Arial" w:hAnsi="Arial" w:cs="Arial"/>
        </w:rPr>
        <w:t>Assist in the compilation of the organisational response to data requests from external stakeholders at a local, regional a</w:t>
      </w:r>
      <w:r w:rsidR="001A1223">
        <w:rPr>
          <w:rFonts w:ascii="Arial" w:hAnsi="Arial" w:cs="Arial"/>
        </w:rPr>
        <w:t>nd national level, as required.</w:t>
      </w:r>
    </w:p>
    <w:p w:rsidR="005810A3" w:rsidRPr="001A1223" w:rsidRDefault="003A19C3" w:rsidP="001A122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A1223">
        <w:rPr>
          <w:rFonts w:ascii="Arial" w:hAnsi="Arial" w:cs="Arial"/>
        </w:rPr>
        <w:t>Use force systems to c</w:t>
      </w:r>
      <w:r w:rsidR="005810A3" w:rsidRPr="001A1223">
        <w:rPr>
          <w:rFonts w:ascii="Arial" w:hAnsi="Arial" w:cs="Arial"/>
        </w:rPr>
        <w:t xml:space="preserve">ollate management information, reports and statistics regarding volunteer contribution and productivity ensuring that relevant, timely, complete and accurate information is presented </w:t>
      </w:r>
      <w:r w:rsidRPr="001A1223">
        <w:rPr>
          <w:rFonts w:ascii="Arial" w:hAnsi="Arial" w:cs="Arial"/>
        </w:rPr>
        <w:t xml:space="preserve">to support effective decision making and </w:t>
      </w:r>
      <w:r w:rsidR="00156DE6" w:rsidRPr="001A1223">
        <w:rPr>
          <w:rFonts w:ascii="Arial" w:hAnsi="Arial" w:cs="Arial"/>
        </w:rPr>
        <w:t xml:space="preserve">promote </w:t>
      </w:r>
      <w:r w:rsidRPr="001A1223">
        <w:rPr>
          <w:rFonts w:ascii="Arial" w:hAnsi="Arial" w:cs="Arial"/>
        </w:rPr>
        <w:t xml:space="preserve">recognition of volunteer effort. </w:t>
      </w:r>
    </w:p>
    <w:p w:rsidR="00572AB1" w:rsidRDefault="00572AB1" w:rsidP="005810A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56DE6">
        <w:rPr>
          <w:rFonts w:ascii="Arial" w:hAnsi="Arial" w:cs="Arial"/>
        </w:rPr>
        <w:t xml:space="preserve">Co-ordinate activity to engage and consult with our volunteers and assist in the analysis of the </w:t>
      </w:r>
      <w:r w:rsidR="00156DE6" w:rsidRPr="00156DE6">
        <w:rPr>
          <w:rFonts w:ascii="Arial" w:hAnsi="Arial" w:cs="Arial"/>
        </w:rPr>
        <w:t xml:space="preserve">data collected to support decision making to </w:t>
      </w:r>
      <w:r w:rsidR="00156DE6">
        <w:rPr>
          <w:rFonts w:ascii="Arial" w:hAnsi="Arial" w:cs="Arial"/>
        </w:rPr>
        <w:t xml:space="preserve">enhance the </w:t>
      </w:r>
      <w:r w:rsidRPr="00156DE6">
        <w:rPr>
          <w:rFonts w:ascii="Arial" w:hAnsi="Arial" w:cs="Arial"/>
        </w:rPr>
        <w:t xml:space="preserve">volunteer experience </w:t>
      </w:r>
      <w:r w:rsidR="00156DE6">
        <w:rPr>
          <w:rFonts w:ascii="Arial" w:hAnsi="Arial" w:cs="Arial"/>
        </w:rPr>
        <w:t>wherever possible.</w:t>
      </w:r>
    </w:p>
    <w:p w:rsidR="001A1223" w:rsidRDefault="00156DE6" w:rsidP="001A122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Co-ordinate </w:t>
      </w:r>
      <w:r w:rsidRPr="00156DE6">
        <w:rPr>
          <w:rFonts w:ascii="Arial" w:hAnsi="Arial" w:cs="Arial"/>
          <w:bCs/>
        </w:rPr>
        <w:t xml:space="preserve">activity </w:t>
      </w:r>
      <w:r>
        <w:rPr>
          <w:rFonts w:ascii="Arial" w:hAnsi="Arial" w:cs="Arial"/>
          <w:bCs/>
        </w:rPr>
        <w:t xml:space="preserve">to support the reward and recognition of our volunteers both internally and externally </w:t>
      </w:r>
    </w:p>
    <w:p w:rsidR="001A1223" w:rsidRPr="001A1223" w:rsidRDefault="00F90B88" w:rsidP="001A122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A1223">
        <w:rPr>
          <w:rFonts w:ascii="Arial" w:hAnsi="Arial" w:cs="Arial"/>
        </w:rPr>
        <w:t xml:space="preserve">Undertake </w:t>
      </w:r>
      <w:r w:rsidR="00053590" w:rsidRPr="001A1223">
        <w:rPr>
          <w:rFonts w:ascii="Arial" w:hAnsi="Arial" w:cs="Arial"/>
        </w:rPr>
        <w:t xml:space="preserve">administrative </w:t>
      </w:r>
      <w:r w:rsidRPr="001A1223">
        <w:rPr>
          <w:rFonts w:ascii="Arial" w:hAnsi="Arial" w:cs="Arial"/>
        </w:rPr>
        <w:t xml:space="preserve">duties </w:t>
      </w:r>
      <w:r w:rsidR="003A19C3" w:rsidRPr="001A1223">
        <w:rPr>
          <w:rFonts w:ascii="Arial" w:hAnsi="Arial" w:cs="Arial"/>
        </w:rPr>
        <w:t xml:space="preserve">as required </w:t>
      </w:r>
      <w:r w:rsidRPr="001A1223">
        <w:rPr>
          <w:rFonts w:ascii="Arial" w:hAnsi="Arial" w:cs="Arial"/>
        </w:rPr>
        <w:t xml:space="preserve">to support </w:t>
      </w:r>
      <w:r w:rsidR="00572AB1" w:rsidRPr="001A1223">
        <w:rPr>
          <w:rFonts w:ascii="Arial" w:hAnsi="Arial" w:cs="Arial"/>
        </w:rPr>
        <w:t xml:space="preserve">Northumbria Police </w:t>
      </w:r>
      <w:r w:rsidR="00156DE6" w:rsidRPr="001A1223">
        <w:rPr>
          <w:rFonts w:ascii="Arial" w:hAnsi="Arial" w:cs="Arial"/>
        </w:rPr>
        <w:t xml:space="preserve">in its </w:t>
      </w:r>
      <w:r w:rsidR="003A19C3" w:rsidRPr="001A1223">
        <w:rPr>
          <w:rFonts w:ascii="Arial" w:hAnsi="Arial" w:cs="Arial"/>
        </w:rPr>
        <w:t xml:space="preserve">collaborate with others to share best practice and </w:t>
      </w:r>
      <w:r w:rsidR="001A1223">
        <w:rPr>
          <w:rFonts w:ascii="Arial" w:hAnsi="Arial" w:cs="Arial"/>
        </w:rPr>
        <w:t xml:space="preserve">strengthen </w:t>
      </w:r>
      <w:bookmarkStart w:id="0" w:name="_GoBack"/>
      <w:bookmarkEnd w:id="0"/>
      <w:r w:rsidR="00156DE6" w:rsidRPr="001A1223">
        <w:rPr>
          <w:rFonts w:ascii="Arial" w:hAnsi="Arial" w:cs="Arial"/>
        </w:rPr>
        <w:t xml:space="preserve">the </w:t>
      </w:r>
      <w:r w:rsidR="003A19C3" w:rsidRPr="001A1223">
        <w:rPr>
          <w:rFonts w:ascii="Arial" w:hAnsi="Arial" w:cs="Arial"/>
        </w:rPr>
        <w:t>approach to volunteering</w:t>
      </w:r>
    </w:p>
    <w:p w:rsidR="001A1223" w:rsidRPr="001A1223" w:rsidRDefault="001A1223" w:rsidP="001A1223">
      <w:pPr>
        <w:pStyle w:val="ListParagraph"/>
        <w:numPr>
          <w:ilvl w:val="0"/>
          <w:numId w:val="7"/>
        </w:numPr>
        <w:rPr>
          <w:rFonts w:ascii="Arial" w:hAnsi="Arial" w:cs="Arial"/>
          <w:bCs/>
        </w:rPr>
      </w:pPr>
      <w:r w:rsidRPr="001A1223">
        <w:rPr>
          <w:rFonts w:ascii="Arial" w:hAnsi="Arial" w:cs="Arial"/>
          <w:bCs/>
        </w:rPr>
        <w:t>Maintain effective relationships with key internal and external stakeholders to support activity related to the delivery of the Citizens in Policing strategy and delivery plan.</w:t>
      </w:r>
    </w:p>
    <w:p w:rsidR="004A2A50" w:rsidRDefault="004A2A50" w:rsidP="004A2A50">
      <w:pPr>
        <w:autoSpaceDE w:val="0"/>
        <w:autoSpaceDN w:val="0"/>
        <w:adjustRightInd w:val="0"/>
        <w:spacing w:after="0" w:line="240" w:lineRule="auto"/>
        <w:ind w:left="3240" w:hanging="3240"/>
        <w:jc w:val="both"/>
        <w:rPr>
          <w:rFonts w:ascii="Helv" w:hAnsi="Helv" w:cs="Helv"/>
          <w:color w:val="000000"/>
          <w:sz w:val="20"/>
          <w:szCs w:val="20"/>
        </w:rPr>
      </w:pPr>
    </w:p>
    <w:p w:rsidR="004A2A50" w:rsidRDefault="004A2A50" w:rsidP="004A2A50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postholder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may be required to undertake such other responsibilities as are reasonably commensurate with the grade of the post.</w:t>
      </w:r>
      <w:r>
        <w:rPr>
          <w:rFonts w:ascii="Helv" w:hAnsi="Helv" w:cs="Helv"/>
          <w:color w:val="000000"/>
          <w:sz w:val="24"/>
          <w:szCs w:val="24"/>
        </w:rPr>
        <w:tab/>
      </w:r>
    </w:p>
    <w:sectPr w:rsidR="004A2A50" w:rsidSect="004A2A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AEB"/>
    <w:multiLevelType w:val="hybridMultilevel"/>
    <w:tmpl w:val="449CA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5275"/>
    <w:multiLevelType w:val="hybridMultilevel"/>
    <w:tmpl w:val="1E0066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6909F0"/>
    <w:multiLevelType w:val="multilevel"/>
    <w:tmpl w:val="E4423726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>
    <w:nsid w:val="2CF023CA"/>
    <w:multiLevelType w:val="hybridMultilevel"/>
    <w:tmpl w:val="7C14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C6A95"/>
    <w:multiLevelType w:val="hybridMultilevel"/>
    <w:tmpl w:val="99E2EC1E"/>
    <w:lvl w:ilvl="0" w:tplc="D1703BD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C50A4"/>
    <w:multiLevelType w:val="hybridMultilevel"/>
    <w:tmpl w:val="DBE8D5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8AD7691"/>
    <w:multiLevelType w:val="hybridMultilevel"/>
    <w:tmpl w:val="98660D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16D4E"/>
    <w:multiLevelType w:val="hybridMultilevel"/>
    <w:tmpl w:val="AC98E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24CEC"/>
    <w:multiLevelType w:val="hybridMultilevel"/>
    <w:tmpl w:val="92B8301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760"/>
    <w:rsid w:val="0004380D"/>
    <w:rsid w:val="00053590"/>
    <w:rsid w:val="00156DE6"/>
    <w:rsid w:val="001A1223"/>
    <w:rsid w:val="001F50A9"/>
    <w:rsid w:val="001F6830"/>
    <w:rsid w:val="00257774"/>
    <w:rsid w:val="002E556A"/>
    <w:rsid w:val="00317E5F"/>
    <w:rsid w:val="00393808"/>
    <w:rsid w:val="003A19C3"/>
    <w:rsid w:val="003B4AC4"/>
    <w:rsid w:val="00495DF0"/>
    <w:rsid w:val="004A2A50"/>
    <w:rsid w:val="00515D4F"/>
    <w:rsid w:val="00572AB1"/>
    <w:rsid w:val="005810A3"/>
    <w:rsid w:val="00585492"/>
    <w:rsid w:val="005D11D7"/>
    <w:rsid w:val="006261F8"/>
    <w:rsid w:val="00662924"/>
    <w:rsid w:val="006A3E01"/>
    <w:rsid w:val="006A7042"/>
    <w:rsid w:val="006E36DA"/>
    <w:rsid w:val="008032B9"/>
    <w:rsid w:val="00841463"/>
    <w:rsid w:val="008A6A0B"/>
    <w:rsid w:val="008B07A9"/>
    <w:rsid w:val="008B46BA"/>
    <w:rsid w:val="00906002"/>
    <w:rsid w:val="0097078A"/>
    <w:rsid w:val="009A0846"/>
    <w:rsid w:val="009D3842"/>
    <w:rsid w:val="00A92414"/>
    <w:rsid w:val="00A9406E"/>
    <w:rsid w:val="00AA0767"/>
    <w:rsid w:val="00B94760"/>
    <w:rsid w:val="00BC09AF"/>
    <w:rsid w:val="00BC2E98"/>
    <w:rsid w:val="00CD7B93"/>
    <w:rsid w:val="00DA6349"/>
    <w:rsid w:val="00E60914"/>
    <w:rsid w:val="00F90B88"/>
    <w:rsid w:val="00FC4DAD"/>
    <w:rsid w:val="00FD6359"/>
    <w:rsid w:val="00FE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Police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Little 5117</dc:creator>
  <cp:lastModifiedBy>Cara Burkin 4585</cp:lastModifiedBy>
  <cp:revision>3</cp:revision>
  <dcterms:created xsi:type="dcterms:W3CDTF">2020-12-09T13:53:00Z</dcterms:created>
  <dcterms:modified xsi:type="dcterms:W3CDTF">2020-12-09T15:56:00Z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-588712528</vt:i4>
  </property>
  <property fmtid="{D5CDD505-2E9C-101B-9397-08002B2CF9AE}" pid="3" name="_NewReviewCycle">
    <vt:lpwstr/>
  </property>
  <property fmtid="{D5CDD505-2E9C-101B-9397-08002B2CF9AE}" pid="4" name="_EmailSubject">
    <vt:lpwstr>People Services - New role Citizens in Policing Assistant x2</vt:lpwstr>
  </property>
  <property fmtid="{D5CDD505-2E9C-101B-9397-08002B2CF9AE}" pid="5" name="_AuthorEmail">
    <vt:lpwstr>Cara.Burkin.4585@northumbria.pnn.police.uk</vt:lpwstr>
  </property>
  <property fmtid="{D5CDD505-2E9C-101B-9397-08002B2CF9AE}" pid="6" name="_AuthorEmailDisplayName">
    <vt:lpwstr>Cara Burkin 4585</vt:lpwstr>
  </property>
  <property fmtid="{D5CDD505-2E9C-101B-9397-08002B2CF9AE}" pid="8" name="_PreviousAdHocReviewCycleID">
    <vt:i4>1316858166</vt:i4>
  </property>
</Properties>
</file>